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02" w:rsidRPr="00BA7F59" w:rsidRDefault="00BA7F59" w:rsidP="00BA7F59">
      <w:pPr>
        <w:spacing w:after="0" w:line="240" w:lineRule="exact"/>
        <w:rPr>
          <w:b/>
        </w:rPr>
      </w:pPr>
      <w:r w:rsidRPr="00BA7F59">
        <w:rPr>
          <w:b/>
        </w:rPr>
        <w:t>Hinweise zum Personalkostenrechner</w:t>
      </w:r>
    </w:p>
    <w:p w:rsidR="00BA7F59" w:rsidRPr="00BA7F59" w:rsidRDefault="00BA7F59" w:rsidP="00BA7F59">
      <w:pPr>
        <w:pStyle w:val="bodytext"/>
        <w:rPr>
          <w:rFonts w:ascii="Arial" w:hAnsi="Arial" w:cs="Arial"/>
          <w:sz w:val="20"/>
          <w:szCs w:val="20"/>
        </w:rPr>
      </w:pPr>
      <w:r w:rsidRPr="00BA7F59">
        <w:rPr>
          <w:rFonts w:ascii="Arial" w:hAnsi="Arial" w:cs="Arial"/>
          <w:sz w:val="20"/>
          <w:szCs w:val="20"/>
        </w:rPr>
        <w:t>Diese</w:t>
      </w:r>
      <w:r w:rsidR="00795615">
        <w:rPr>
          <w:rFonts w:ascii="Arial" w:hAnsi="Arial" w:cs="Arial"/>
          <w:sz w:val="20"/>
          <w:szCs w:val="20"/>
        </w:rPr>
        <w:t>r</w:t>
      </w:r>
      <w:r w:rsidRPr="00BA7F59">
        <w:rPr>
          <w:rFonts w:ascii="Arial" w:hAnsi="Arial" w:cs="Arial"/>
          <w:sz w:val="20"/>
          <w:szCs w:val="20"/>
        </w:rPr>
        <w:t xml:space="preserve"> Personalkostenrechner </w:t>
      </w:r>
      <w:r w:rsidR="00B66F25">
        <w:rPr>
          <w:rFonts w:ascii="Arial" w:hAnsi="Arial" w:cs="Arial"/>
          <w:sz w:val="20"/>
          <w:szCs w:val="20"/>
        </w:rPr>
        <w:t>ist</w:t>
      </w:r>
      <w:r w:rsidRPr="00BA7F59">
        <w:rPr>
          <w:rFonts w:ascii="Arial" w:hAnsi="Arial" w:cs="Arial"/>
          <w:sz w:val="20"/>
          <w:szCs w:val="20"/>
        </w:rPr>
        <w:t xml:space="preserve"> ausschließlich zur Berechnung der Personalkosten für </w:t>
      </w:r>
      <w:r w:rsidRPr="00BA7F59">
        <w:rPr>
          <w:rStyle w:val="Fett"/>
          <w:rFonts w:ascii="Arial" w:hAnsi="Arial" w:cs="Arial"/>
          <w:sz w:val="20"/>
          <w:szCs w:val="20"/>
        </w:rPr>
        <w:t>nichtwirtschaftliche Drittmittelprojekte (Antragsforschung)</w:t>
      </w:r>
      <w:r w:rsidRPr="00BA7F59">
        <w:rPr>
          <w:rFonts w:ascii="Arial" w:hAnsi="Arial" w:cs="Arial"/>
          <w:sz w:val="20"/>
          <w:szCs w:val="20"/>
        </w:rPr>
        <w:t xml:space="preserve">. </w:t>
      </w:r>
    </w:p>
    <w:p w:rsidR="00BA7F59" w:rsidRDefault="00BA7F59" w:rsidP="00BA7F59">
      <w:pPr>
        <w:pStyle w:val="bodytext"/>
        <w:rPr>
          <w:rFonts w:ascii="Arial" w:hAnsi="Arial" w:cs="Arial"/>
          <w:sz w:val="20"/>
          <w:szCs w:val="20"/>
        </w:rPr>
      </w:pPr>
      <w:r w:rsidRPr="00BA7F59">
        <w:rPr>
          <w:rFonts w:ascii="Arial" w:hAnsi="Arial" w:cs="Arial"/>
          <w:sz w:val="20"/>
          <w:szCs w:val="20"/>
        </w:rPr>
        <w:t xml:space="preserve">Für </w:t>
      </w:r>
      <w:r w:rsidRPr="00BA7F59">
        <w:rPr>
          <w:rStyle w:val="Fett"/>
          <w:rFonts w:ascii="Arial" w:hAnsi="Arial" w:cs="Arial"/>
          <w:sz w:val="20"/>
          <w:szCs w:val="20"/>
        </w:rPr>
        <w:t>wirtschaftliche Drittmittelprojekte (Auftragsforschung)</w:t>
      </w:r>
      <w:r w:rsidRPr="00BA7F59">
        <w:rPr>
          <w:rFonts w:ascii="Arial" w:hAnsi="Arial" w:cs="Arial"/>
          <w:sz w:val="20"/>
          <w:szCs w:val="20"/>
        </w:rPr>
        <w:t xml:space="preserve"> gelten weiter die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Vollkostenstundensätze.</w:t>
      </w:r>
    </w:p>
    <w:p w:rsidR="00994D06" w:rsidRPr="00994D06" w:rsidRDefault="00BA7F59" w:rsidP="00A02C7F">
      <w:pPr>
        <w:pStyle w:val="bodytext"/>
        <w:numPr>
          <w:ilvl w:val="0"/>
          <w:numId w:val="1"/>
        </w:numPr>
        <w:spacing w:after="0" w:line="240" w:lineRule="exact"/>
        <w:contextualSpacing/>
      </w:pPr>
      <w:r w:rsidRPr="00BA7F59">
        <w:rPr>
          <w:rFonts w:ascii="Arial" w:hAnsi="Arial" w:cs="Arial"/>
          <w:sz w:val="20"/>
          <w:szCs w:val="20"/>
        </w:rPr>
        <w:t xml:space="preserve">Für die Berechnung der Personalkosten ist die </w:t>
      </w:r>
      <w:r w:rsidR="00B66F25">
        <w:rPr>
          <w:rFonts w:ascii="Arial" w:hAnsi="Arial" w:cs="Arial"/>
          <w:sz w:val="20"/>
          <w:szCs w:val="20"/>
        </w:rPr>
        <w:t xml:space="preserve">Eingabe der </w:t>
      </w:r>
      <w:r w:rsidRPr="00BA7F59">
        <w:rPr>
          <w:rFonts w:ascii="Arial" w:hAnsi="Arial" w:cs="Arial"/>
          <w:sz w:val="20"/>
          <w:szCs w:val="20"/>
        </w:rPr>
        <w:t>jeweilige</w:t>
      </w:r>
      <w:r w:rsidR="00B66F25">
        <w:rPr>
          <w:rFonts w:ascii="Arial" w:hAnsi="Arial" w:cs="Arial"/>
          <w:sz w:val="20"/>
          <w:szCs w:val="20"/>
        </w:rPr>
        <w:t>n</w:t>
      </w:r>
      <w:r w:rsidRPr="00BA7F59">
        <w:rPr>
          <w:rFonts w:ascii="Arial" w:hAnsi="Arial" w:cs="Arial"/>
          <w:sz w:val="20"/>
          <w:szCs w:val="20"/>
        </w:rPr>
        <w:t xml:space="preserve"> Stufe</w:t>
      </w:r>
      <w:r w:rsidR="00B66F25">
        <w:rPr>
          <w:rFonts w:ascii="Arial" w:hAnsi="Arial" w:cs="Arial"/>
          <w:sz w:val="20"/>
          <w:szCs w:val="20"/>
        </w:rPr>
        <w:t xml:space="preserve"> und d</w:t>
      </w:r>
      <w:r w:rsidR="006F3BFA">
        <w:rPr>
          <w:rFonts w:ascii="Arial" w:hAnsi="Arial" w:cs="Arial"/>
          <w:sz w:val="20"/>
          <w:szCs w:val="20"/>
        </w:rPr>
        <w:t>er</w:t>
      </w:r>
      <w:r w:rsidR="00B66F25">
        <w:rPr>
          <w:rFonts w:ascii="Arial" w:hAnsi="Arial" w:cs="Arial"/>
          <w:sz w:val="20"/>
          <w:szCs w:val="20"/>
        </w:rPr>
        <w:t xml:space="preserve"> weiteren Stufensteigerungen</w:t>
      </w:r>
      <w:r w:rsidRPr="00BA7F59">
        <w:rPr>
          <w:rFonts w:ascii="Arial" w:hAnsi="Arial" w:cs="Arial"/>
          <w:sz w:val="20"/>
          <w:szCs w:val="20"/>
        </w:rPr>
        <w:t xml:space="preserve"> erforderlich. Diese erfahren Sie auf Anfrage </w:t>
      </w:r>
      <w:r w:rsidR="00795615">
        <w:rPr>
          <w:rFonts w:ascii="Arial" w:hAnsi="Arial" w:cs="Arial"/>
          <w:sz w:val="20"/>
          <w:szCs w:val="20"/>
        </w:rPr>
        <w:t xml:space="preserve">bei </w:t>
      </w:r>
      <w:r w:rsidR="00994D06">
        <w:rPr>
          <w:rFonts w:ascii="Arial" w:hAnsi="Arial" w:cs="Arial"/>
          <w:sz w:val="20"/>
          <w:szCs w:val="20"/>
        </w:rPr>
        <w:t>den zuständigen Personalsachbearbeiterinnen/ Personalsachbearbeitern:</w:t>
      </w:r>
    </w:p>
    <w:p w:rsidR="00994D06" w:rsidRDefault="00994D06" w:rsidP="00994D06">
      <w:pPr>
        <w:pStyle w:val="bodytext"/>
        <w:spacing w:after="0" w:line="240" w:lineRule="exact"/>
        <w:ind w:left="720"/>
        <w:contextualSpacing/>
        <w:rPr>
          <w:rFonts w:ascii="Arial" w:hAnsi="Arial" w:cs="Arial"/>
          <w:sz w:val="20"/>
          <w:szCs w:val="20"/>
        </w:rPr>
      </w:pPr>
    </w:p>
    <w:p w:rsidR="00994D06" w:rsidRDefault="00994D06" w:rsidP="00994D06">
      <w:pPr>
        <w:pStyle w:val="bodytext"/>
        <w:spacing w:after="0" w:line="240" w:lineRule="exact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Frau Warnecke (Tel.: 8063) technisches Personal</w:t>
      </w:r>
    </w:p>
    <w:p w:rsidR="00994D06" w:rsidRDefault="00795615" w:rsidP="00994D06">
      <w:pPr>
        <w:pStyle w:val="bodytext"/>
        <w:spacing w:after="0" w:line="240" w:lineRule="exact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Frau Noffz (Tel. 8062)</w:t>
      </w:r>
      <w:r w:rsidR="00994D06">
        <w:rPr>
          <w:rFonts w:ascii="Arial" w:hAnsi="Arial" w:cs="Arial"/>
          <w:sz w:val="20"/>
          <w:szCs w:val="20"/>
        </w:rPr>
        <w:t xml:space="preserve"> wissenschaftliches Personal</w:t>
      </w:r>
    </w:p>
    <w:p w:rsidR="00994D06" w:rsidRDefault="00994D06" w:rsidP="00994D06">
      <w:pPr>
        <w:pStyle w:val="bodytext"/>
        <w:spacing w:after="0" w:line="240" w:lineRule="exact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Frau Conrady (Tel. 8067) wissenschaftliches Personal</w:t>
      </w:r>
    </w:p>
    <w:p w:rsidR="00BA7F59" w:rsidRPr="00BA7F59" w:rsidRDefault="00F437AE" w:rsidP="00994D06">
      <w:pPr>
        <w:pStyle w:val="bodytext"/>
        <w:spacing w:after="0" w:line="240" w:lineRule="exact"/>
        <w:ind w:left="720"/>
        <w:contextualSpacing/>
      </w:pPr>
      <w:r>
        <w:rPr>
          <w:rFonts w:ascii="Arial" w:hAnsi="Arial" w:cs="Arial"/>
          <w:sz w:val="20"/>
          <w:szCs w:val="20"/>
        </w:rPr>
        <w:t>Herrn Kunz (Tel. 8066)</w:t>
      </w:r>
      <w:r w:rsidR="00994D06">
        <w:rPr>
          <w:rFonts w:ascii="Arial" w:hAnsi="Arial" w:cs="Arial"/>
          <w:sz w:val="20"/>
          <w:szCs w:val="20"/>
        </w:rPr>
        <w:t xml:space="preserve"> Verwaltung, Tierpflege</w:t>
      </w:r>
      <w:r w:rsidR="00795615">
        <w:rPr>
          <w:rFonts w:ascii="Arial" w:hAnsi="Arial" w:cs="Arial"/>
          <w:sz w:val="20"/>
          <w:szCs w:val="20"/>
        </w:rPr>
        <w:br/>
      </w:r>
    </w:p>
    <w:p w:rsidR="00BA7F59" w:rsidRPr="00BA7F59" w:rsidRDefault="00BA7F59" w:rsidP="00A02C7F">
      <w:pPr>
        <w:pStyle w:val="bodytext"/>
        <w:numPr>
          <w:ilvl w:val="0"/>
          <w:numId w:val="1"/>
        </w:numPr>
        <w:spacing w:after="0" w:line="240" w:lineRule="exact"/>
        <w:contextualSpacing/>
      </w:pPr>
      <w:r>
        <w:rPr>
          <w:rFonts w:ascii="Arial" w:hAnsi="Arial" w:cs="Arial"/>
          <w:sz w:val="20"/>
          <w:szCs w:val="20"/>
        </w:rPr>
        <w:t>Der Arbeitgeberanteil wird beim Personalkostenrechner mit 30% berechnet</w:t>
      </w:r>
      <w:r w:rsidR="00E67E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:rsidR="00EF2EE3" w:rsidRPr="00B301B4" w:rsidRDefault="00E67E37" w:rsidP="008A5ACF">
      <w:pPr>
        <w:pStyle w:val="bodytext"/>
        <w:numPr>
          <w:ilvl w:val="0"/>
          <w:numId w:val="1"/>
        </w:numPr>
        <w:spacing w:after="0" w:line="240" w:lineRule="exact"/>
        <w:contextualSpacing/>
      </w:pPr>
      <w:r w:rsidRPr="000A1A04">
        <w:rPr>
          <w:rFonts w:ascii="Arial" w:hAnsi="Arial" w:cs="Arial"/>
          <w:sz w:val="20"/>
          <w:szCs w:val="20"/>
        </w:rPr>
        <w:t>Beschäftigte, die am 01.12. im Arbeitsverhältnis stehen, haben Anspruch auf Jahressonderzahlung.</w:t>
      </w:r>
      <w:r w:rsidR="00B66F25" w:rsidRPr="000A1A04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2593" w:tblpY="5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829"/>
      </w:tblGrid>
      <w:tr w:rsidR="00853744" w:rsidRPr="00B301B4" w:rsidTr="00B30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744" w:rsidRPr="00B301B4" w:rsidRDefault="00853744" w:rsidP="00B301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853744" w:rsidRPr="00B301B4" w:rsidRDefault="00853744" w:rsidP="00B301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e-DE"/>
              </w:rPr>
              <w:t xml:space="preserve">ab </w:t>
            </w:r>
            <w:r w:rsidRPr="00B301B4">
              <w:rPr>
                <w:rFonts w:eastAsia="Times New Roman" w:cs="Arial"/>
                <w:b/>
                <w:bCs/>
                <w:szCs w:val="20"/>
                <w:lang w:eastAsia="de-DE"/>
              </w:rPr>
              <w:t>2022</w:t>
            </w:r>
          </w:p>
        </w:tc>
      </w:tr>
      <w:tr w:rsidR="00853744" w:rsidRPr="00B301B4" w:rsidTr="00B30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744" w:rsidRPr="00B301B4" w:rsidRDefault="00853744" w:rsidP="00B301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de-DE"/>
              </w:rPr>
            </w:pPr>
            <w:r w:rsidRPr="00B301B4">
              <w:rPr>
                <w:rFonts w:eastAsia="Times New Roman" w:cs="Arial"/>
                <w:b/>
                <w:bCs/>
                <w:szCs w:val="20"/>
                <w:lang w:eastAsia="de-DE"/>
              </w:rPr>
              <w:t>E 14 bis E 15</w:t>
            </w:r>
          </w:p>
        </w:tc>
        <w:tc>
          <w:tcPr>
            <w:tcW w:w="0" w:type="auto"/>
            <w:vAlign w:val="center"/>
            <w:hideMark/>
          </w:tcPr>
          <w:p w:rsidR="00853744" w:rsidRPr="00B301B4" w:rsidRDefault="00994D06" w:rsidP="00994D06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32,53</w:t>
            </w:r>
            <w:r w:rsidR="00853744" w:rsidRPr="00B301B4">
              <w:rPr>
                <w:rFonts w:eastAsia="Times New Roman" w:cs="Arial"/>
                <w:szCs w:val="20"/>
                <w:lang w:eastAsia="de-DE"/>
              </w:rPr>
              <w:t>%</w:t>
            </w:r>
          </w:p>
        </w:tc>
      </w:tr>
      <w:tr w:rsidR="00853744" w:rsidRPr="00B301B4" w:rsidTr="00B30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744" w:rsidRPr="00B301B4" w:rsidRDefault="00853744" w:rsidP="00B301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de-DE"/>
              </w:rPr>
            </w:pPr>
            <w:r w:rsidRPr="00B301B4">
              <w:rPr>
                <w:rFonts w:eastAsia="Times New Roman" w:cs="Arial"/>
                <w:b/>
                <w:bCs/>
                <w:szCs w:val="20"/>
                <w:lang w:eastAsia="de-DE"/>
              </w:rPr>
              <w:t>E 12 bis E 13</w:t>
            </w:r>
          </w:p>
        </w:tc>
        <w:tc>
          <w:tcPr>
            <w:tcW w:w="0" w:type="auto"/>
            <w:vAlign w:val="center"/>
            <w:hideMark/>
          </w:tcPr>
          <w:p w:rsidR="00853744" w:rsidRPr="00B301B4" w:rsidRDefault="00994D06" w:rsidP="00B301B4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46,47</w:t>
            </w:r>
            <w:r w:rsidR="00853744" w:rsidRPr="00B301B4">
              <w:rPr>
                <w:rFonts w:eastAsia="Times New Roman" w:cs="Arial"/>
                <w:szCs w:val="20"/>
                <w:lang w:eastAsia="de-DE"/>
              </w:rPr>
              <w:t>%</w:t>
            </w:r>
          </w:p>
        </w:tc>
      </w:tr>
      <w:tr w:rsidR="00853744" w:rsidRPr="00B301B4" w:rsidTr="00B30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744" w:rsidRPr="00B301B4" w:rsidRDefault="00853744" w:rsidP="00B301B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de-DE"/>
              </w:rPr>
            </w:pPr>
            <w:r w:rsidRPr="00B301B4">
              <w:rPr>
                <w:rFonts w:eastAsia="Times New Roman" w:cs="Arial"/>
                <w:b/>
                <w:bCs/>
                <w:szCs w:val="20"/>
                <w:lang w:eastAsia="de-DE"/>
              </w:rPr>
              <w:t>E 9a bis E 11</w:t>
            </w:r>
          </w:p>
        </w:tc>
        <w:tc>
          <w:tcPr>
            <w:tcW w:w="0" w:type="auto"/>
            <w:vAlign w:val="center"/>
            <w:hideMark/>
          </w:tcPr>
          <w:p w:rsidR="00853744" w:rsidRPr="00B301B4" w:rsidRDefault="00994D06" w:rsidP="00B301B4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74,35</w:t>
            </w:r>
            <w:r w:rsidR="00853744" w:rsidRPr="00B301B4">
              <w:rPr>
                <w:rFonts w:eastAsia="Times New Roman" w:cs="Arial"/>
                <w:szCs w:val="20"/>
                <w:lang w:eastAsia="de-DE"/>
              </w:rPr>
              <w:t>%</w:t>
            </w:r>
          </w:p>
        </w:tc>
      </w:tr>
      <w:tr w:rsidR="00853744" w:rsidRPr="00B301B4" w:rsidTr="00B30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744" w:rsidRPr="00B301B4" w:rsidRDefault="00853744" w:rsidP="00994D06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e-DE"/>
              </w:rPr>
            </w:pPr>
            <w:r w:rsidRPr="00B301B4">
              <w:rPr>
                <w:rFonts w:eastAsia="Times New Roman" w:cs="Arial"/>
                <w:b/>
                <w:bCs/>
                <w:szCs w:val="20"/>
                <w:lang w:eastAsia="de-DE"/>
              </w:rPr>
              <w:t>E 5 bis E 8</w:t>
            </w:r>
          </w:p>
        </w:tc>
        <w:tc>
          <w:tcPr>
            <w:tcW w:w="0" w:type="auto"/>
            <w:vAlign w:val="center"/>
            <w:hideMark/>
          </w:tcPr>
          <w:p w:rsidR="00853744" w:rsidRPr="00B301B4" w:rsidRDefault="00994D06" w:rsidP="00B301B4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88,14</w:t>
            </w:r>
            <w:r w:rsidR="00853744" w:rsidRPr="00B301B4">
              <w:rPr>
                <w:rFonts w:eastAsia="Times New Roman" w:cs="Arial"/>
                <w:szCs w:val="20"/>
                <w:lang w:eastAsia="de-DE"/>
              </w:rPr>
              <w:t>%</w:t>
            </w:r>
          </w:p>
        </w:tc>
      </w:tr>
      <w:tr w:rsidR="00853744" w:rsidRPr="00B301B4" w:rsidTr="00B301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744" w:rsidRPr="00B301B4" w:rsidRDefault="00853744" w:rsidP="00994D06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e-DE"/>
              </w:rPr>
            </w:pPr>
            <w:r w:rsidRPr="00B301B4">
              <w:rPr>
                <w:rFonts w:eastAsia="Times New Roman" w:cs="Arial"/>
                <w:b/>
                <w:bCs/>
                <w:szCs w:val="20"/>
                <w:lang w:eastAsia="de-DE"/>
              </w:rPr>
              <w:t>E 1 bis E 4</w:t>
            </w:r>
          </w:p>
        </w:tc>
        <w:tc>
          <w:tcPr>
            <w:tcW w:w="0" w:type="auto"/>
            <w:vAlign w:val="center"/>
            <w:hideMark/>
          </w:tcPr>
          <w:p w:rsidR="00853744" w:rsidRPr="00B301B4" w:rsidRDefault="00994D06" w:rsidP="00B301B4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87,43</w:t>
            </w:r>
            <w:r w:rsidR="00853744" w:rsidRPr="00B301B4">
              <w:rPr>
                <w:rFonts w:eastAsia="Times New Roman" w:cs="Arial"/>
                <w:szCs w:val="20"/>
                <w:lang w:eastAsia="de-DE"/>
              </w:rPr>
              <w:t>%</w:t>
            </w:r>
          </w:p>
        </w:tc>
      </w:tr>
    </w:tbl>
    <w:p w:rsidR="00B301B4" w:rsidRDefault="00B301B4" w:rsidP="00B301B4">
      <w:pPr>
        <w:pStyle w:val="bodytext"/>
        <w:spacing w:after="0" w:line="240" w:lineRule="exact"/>
        <w:contextualSpacing/>
      </w:pPr>
    </w:p>
    <w:p w:rsidR="00EF2EE3" w:rsidRDefault="00EF2EE3" w:rsidP="00EF2EE3">
      <w:pPr>
        <w:pStyle w:val="bodytext"/>
        <w:spacing w:after="0" w:line="240" w:lineRule="exact"/>
        <w:ind w:left="720"/>
        <w:contextualSpacing/>
      </w:pPr>
    </w:p>
    <w:p w:rsidR="00B301B4" w:rsidRDefault="00B301B4" w:rsidP="00EF2EE3">
      <w:pPr>
        <w:pStyle w:val="bodytext"/>
        <w:spacing w:after="0" w:line="240" w:lineRule="exact"/>
        <w:ind w:left="720"/>
        <w:contextualSpacing/>
      </w:pPr>
    </w:p>
    <w:p w:rsidR="00B301B4" w:rsidRDefault="00B301B4" w:rsidP="00EF2EE3">
      <w:pPr>
        <w:pStyle w:val="bodytext"/>
        <w:spacing w:after="0" w:line="240" w:lineRule="exact"/>
        <w:ind w:left="720"/>
        <w:contextualSpacing/>
      </w:pPr>
    </w:p>
    <w:p w:rsidR="00B301B4" w:rsidRDefault="00B301B4" w:rsidP="00EF2EE3">
      <w:pPr>
        <w:pStyle w:val="bodytext"/>
        <w:spacing w:after="0" w:line="240" w:lineRule="exact"/>
        <w:ind w:left="720"/>
        <w:contextualSpacing/>
      </w:pPr>
    </w:p>
    <w:p w:rsidR="00B301B4" w:rsidRDefault="00B301B4" w:rsidP="00EF2EE3">
      <w:pPr>
        <w:pStyle w:val="bodytext"/>
        <w:spacing w:after="0" w:line="240" w:lineRule="exact"/>
        <w:ind w:left="720"/>
        <w:contextualSpacing/>
      </w:pPr>
    </w:p>
    <w:p w:rsidR="00B301B4" w:rsidRDefault="00B301B4" w:rsidP="00EF2EE3">
      <w:pPr>
        <w:pStyle w:val="bodytext"/>
        <w:spacing w:after="0" w:line="240" w:lineRule="exact"/>
        <w:ind w:left="720"/>
        <w:contextualSpacing/>
      </w:pPr>
    </w:p>
    <w:p w:rsidR="00B301B4" w:rsidRDefault="00B301B4" w:rsidP="00EF2EE3">
      <w:pPr>
        <w:pStyle w:val="bodytext"/>
        <w:spacing w:after="0" w:line="240" w:lineRule="exact"/>
        <w:ind w:left="720"/>
        <w:contextualSpacing/>
      </w:pPr>
    </w:p>
    <w:p w:rsidR="00B301B4" w:rsidRDefault="00B301B4" w:rsidP="00EF2EE3">
      <w:pPr>
        <w:pStyle w:val="bodytext"/>
        <w:spacing w:after="0" w:line="240" w:lineRule="exact"/>
        <w:ind w:left="720"/>
        <w:contextualSpacing/>
      </w:pPr>
    </w:p>
    <w:p w:rsidR="00B301B4" w:rsidRDefault="00B301B4" w:rsidP="00EF2EE3">
      <w:pPr>
        <w:pStyle w:val="bodytext"/>
        <w:spacing w:after="0" w:line="240" w:lineRule="exact"/>
        <w:ind w:left="720"/>
        <w:contextualSpacing/>
      </w:pPr>
    </w:p>
    <w:p w:rsidR="00B301B4" w:rsidRDefault="00B301B4" w:rsidP="00EF2EE3">
      <w:pPr>
        <w:pStyle w:val="bodytext"/>
        <w:spacing w:after="0" w:line="240" w:lineRule="exact"/>
        <w:ind w:left="720"/>
        <w:contextualSpacing/>
      </w:pPr>
    </w:p>
    <w:p w:rsidR="00BA7F59" w:rsidRPr="00BA7F59" w:rsidRDefault="00B66F25" w:rsidP="00EF2EE3">
      <w:pPr>
        <w:pStyle w:val="bodytext"/>
        <w:spacing w:after="0" w:line="240" w:lineRule="exact"/>
        <w:ind w:left="720"/>
        <w:contextualSpacing/>
      </w:pPr>
      <w:r w:rsidRPr="00D42EF4">
        <w:rPr>
          <w:rFonts w:ascii="Arial" w:hAnsi="Arial" w:cs="Arial"/>
          <w:sz w:val="20"/>
          <w:szCs w:val="20"/>
        </w:rPr>
        <w:t>(</w:t>
      </w:r>
      <w:r w:rsidR="000A1A04" w:rsidRPr="00D42EF4">
        <w:rPr>
          <w:rFonts w:ascii="Arial" w:hAnsi="Arial" w:cs="Arial"/>
          <w:sz w:val="20"/>
          <w:szCs w:val="20"/>
        </w:rPr>
        <w:t>Die Jahressonderzahlung in den Entgeltgruppen beträgt den Prozentsatz</w:t>
      </w:r>
      <w:r w:rsidR="000A1A04">
        <w:rPr>
          <w:rFonts w:ascii="Arial" w:hAnsi="Arial" w:cs="Arial"/>
          <w:b/>
          <w:sz w:val="20"/>
          <w:szCs w:val="20"/>
        </w:rPr>
        <w:t xml:space="preserve"> (siehe Tabelle)</w:t>
      </w:r>
      <w:r w:rsidRPr="00EF2EE3">
        <w:rPr>
          <w:rFonts w:ascii="Arial" w:hAnsi="Arial" w:cs="Arial"/>
          <w:sz w:val="20"/>
          <w:szCs w:val="20"/>
        </w:rPr>
        <w:t xml:space="preserve"> des monatlichen Entgelts, das den Beschäftigten in den Monaten Juli bis September durchschnittlich gezahlt wird).</w:t>
      </w:r>
      <w:r w:rsidR="00E67E37" w:rsidRPr="00EF2EE3">
        <w:rPr>
          <w:rFonts w:ascii="Arial" w:hAnsi="Arial" w:cs="Arial"/>
          <w:sz w:val="20"/>
          <w:szCs w:val="20"/>
        </w:rPr>
        <w:t xml:space="preserve"> Der Anspruch vermindert sich um ein Zwölftel für jeden Kalendermonat in dem Beschäfti</w:t>
      </w:r>
      <w:r w:rsidR="00795615" w:rsidRPr="00EF2EE3">
        <w:rPr>
          <w:rFonts w:ascii="Arial" w:hAnsi="Arial" w:cs="Arial"/>
          <w:sz w:val="20"/>
          <w:szCs w:val="20"/>
        </w:rPr>
        <w:t>gte keinen Anspruch auf Entgelt.</w:t>
      </w:r>
      <w:r w:rsidR="00BA7F59" w:rsidRPr="00EF2EE3">
        <w:rPr>
          <w:rFonts w:ascii="Arial" w:hAnsi="Arial" w:cs="Arial"/>
          <w:sz w:val="20"/>
          <w:szCs w:val="20"/>
        </w:rPr>
        <w:t xml:space="preserve"> (</w:t>
      </w:r>
      <w:r w:rsidR="00795615" w:rsidRPr="00EF2EE3">
        <w:rPr>
          <w:rFonts w:ascii="Arial" w:hAnsi="Arial" w:cs="Arial"/>
          <w:sz w:val="20"/>
          <w:szCs w:val="20"/>
        </w:rPr>
        <w:t>B</w:t>
      </w:r>
      <w:r w:rsidR="00BA7F59" w:rsidRPr="00EF2EE3">
        <w:rPr>
          <w:rFonts w:ascii="Arial" w:hAnsi="Arial" w:cs="Arial"/>
          <w:sz w:val="20"/>
          <w:szCs w:val="20"/>
        </w:rPr>
        <w:t>eim Wechsel von der wissenschaftlichen Hilfskraft zum Beschäftigten zählt die Zeit als wissenschaftliche Hilfskraft</w:t>
      </w:r>
      <w:r w:rsidR="00795615" w:rsidRPr="00EF2EE3">
        <w:rPr>
          <w:rFonts w:ascii="Arial" w:hAnsi="Arial" w:cs="Arial"/>
          <w:sz w:val="20"/>
          <w:szCs w:val="20"/>
        </w:rPr>
        <w:t xml:space="preserve"> als Beschäftigungszeit</w:t>
      </w:r>
      <w:r w:rsidR="001605FF" w:rsidRPr="00EF2EE3">
        <w:rPr>
          <w:rFonts w:ascii="Arial" w:hAnsi="Arial" w:cs="Arial"/>
          <w:sz w:val="20"/>
          <w:szCs w:val="20"/>
        </w:rPr>
        <w:t>.</w:t>
      </w:r>
      <w:r w:rsidR="00BA7F59" w:rsidRPr="00EF2EE3">
        <w:rPr>
          <w:rFonts w:ascii="Arial" w:hAnsi="Arial" w:cs="Arial"/>
          <w:sz w:val="20"/>
          <w:szCs w:val="20"/>
        </w:rPr>
        <w:t>)</w:t>
      </w:r>
      <w:r w:rsidR="00BA7F59" w:rsidRPr="00EF2EE3">
        <w:rPr>
          <w:rFonts w:ascii="Arial" w:hAnsi="Arial" w:cs="Arial"/>
          <w:sz w:val="20"/>
          <w:szCs w:val="20"/>
        </w:rPr>
        <w:br/>
      </w:r>
    </w:p>
    <w:p w:rsidR="00BA7F59" w:rsidRDefault="00795615" w:rsidP="00A02C7F">
      <w:pPr>
        <w:pStyle w:val="bodytext"/>
        <w:numPr>
          <w:ilvl w:val="0"/>
          <w:numId w:val="1"/>
        </w:numPr>
        <w:spacing w:after="0" w:line="240" w:lineRule="exact"/>
        <w:contextualSpacing/>
        <w:rPr>
          <w:rFonts w:ascii="Arial" w:hAnsi="Arial" w:cs="Arial"/>
          <w:sz w:val="20"/>
          <w:szCs w:val="20"/>
        </w:rPr>
      </w:pPr>
      <w:r w:rsidRPr="00795615">
        <w:rPr>
          <w:rFonts w:ascii="Arial" w:hAnsi="Arial" w:cs="Arial"/>
          <w:sz w:val="20"/>
          <w:szCs w:val="20"/>
        </w:rPr>
        <w:t>Änderungen im Sozialversicherungsrecht können nicht berücksichtigt werden</w:t>
      </w:r>
      <w:r w:rsidR="001605F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:rsidR="00795615" w:rsidRDefault="00795615" w:rsidP="00A02C7F">
      <w:pPr>
        <w:pStyle w:val="bodytext"/>
        <w:numPr>
          <w:ilvl w:val="0"/>
          <w:numId w:val="1"/>
        </w:numPr>
        <w:spacing w:after="0" w:line="24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Nach den Erfahrungswerten der letzten Jahren wird eine jährliche Tarifsteigerung von </w:t>
      </w:r>
      <w:r w:rsidR="006F3BF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 berechnet.</w:t>
      </w:r>
      <w:r>
        <w:rPr>
          <w:rFonts w:ascii="Arial" w:hAnsi="Arial" w:cs="Arial"/>
          <w:sz w:val="20"/>
          <w:szCs w:val="20"/>
        </w:rPr>
        <w:br/>
      </w:r>
    </w:p>
    <w:p w:rsidR="00795615" w:rsidRDefault="00795615" w:rsidP="00A02C7F">
      <w:pPr>
        <w:pStyle w:val="bodytext"/>
        <w:numPr>
          <w:ilvl w:val="0"/>
          <w:numId w:val="1"/>
        </w:numPr>
        <w:spacing w:after="0" w:line="24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Zahlung von Urlaubsgeld sieht der Tarifvertrag nicht vor.</w:t>
      </w:r>
    </w:p>
    <w:p w:rsidR="00B66F25" w:rsidRDefault="00B66F25" w:rsidP="00B66F25">
      <w:pPr>
        <w:pStyle w:val="bodytext"/>
        <w:spacing w:after="0" w:line="240" w:lineRule="exact"/>
        <w:contextualSpacing/>
        <w:rPr>
          <w:rFonts w:ascii="Arial" w:hAnsi="Arial" w:cs="Arial"/>
          <w:sz w:val="20"/>
          <w:szCs w:val="20"/>
        </w:rPr>
      </w:pPr>
    </w:p>
    <w:p w:rsidR="00B66F25" w:rsidRDefault="00B66F25" w:rsidP="00B66F25">
      <w:pPr>
        <w:pStyle w:val="bodytext"/>
        <w:spacing w:after="0" w:line="240" w:lineRule="exact"/>
        <w:contextualSpacing/>
        <w:rPr>
          <w:rFonts w:ascii="Arial" w:hAnsi="Arial" w:cs="Arial"/>
          <w:sz w:val="20"/>
          <w:szCs w:val="20"/>
        </w:rPr>
      </w:pPr>
    </w:p>
    <w:p w:rsidR="00B66F25" w:rsidRPr="00B66F25" w:rsidRDefault="00B66F25" w:rsidP="00B66F25">
      <w:pPr>
        <w:pStyle w:val="bodytext"/>
        <w:spacing w:after="0" w:line="240" w:lineRule="exact"/>
        <w:contextualSpacing/>
        <w:rPr>
          <w:rFonts w:ascii="Arial" w:hAnsi="Arial" w:cs="Arial"/>
          <w:b/>
          <w:sz w:val="20"/>
          <w:szCs w:val="20"/>
        </w:rPr>
      </w:pPr>
      <w:r w:rsidRPr="00B66F25">
        <w:rPr>
          <w:rFonts w:ascii="Arial" w:hAnsi="Arial" w:cs="Arial"/>
          <w:b/>
          <w:sz w:val="20"/>
          <w:szCs w:val="20"/>
        </w:rPr>
        <w:t>Bei Fragen bezüglich des Personalkostenrechners stehen I</w:t>
      </w:r>
      <w:r w:rsidR="00F437AE">
        <w:rPr>
          <w:rFonts w:ascii="Arial" w:hAnsi="Arial" w:cs="Arial"/>
          <w:b/>
          <w:sz w:val="20"/>
          <w:szCs w:val="20"/>
        </w:rPr>
        <w:t xml:space="preserve">hnen </w:t>
      </w:r>
      <w:r w:rsidR="00994D06">
        <w:rPr>
          <w:rFonts w:ascii="Arial" w:hAnsi="Arial" w:cs="Arial"/>
          <w:b/>
          <w:sz w:val="20"/>
          <w:szCs w:val="20"/>
        </w:rPr>
        <w:t xml:space="preserve">die o.g. Kolleginnen und Kollegen </w:t>
      </w:r>
      <w:r w:rsidRPr="00F437AE">
        <w:rPr>
          <w:rFonts w:ascii="Arial" w:hAnsi="Arial" w:cs="Arial"/>
          <w:b/>
          <w:sz w:val="20"/>
          <w:szCs w:val="20"/>
        </w:rPr>
        <w:t>gerne zur Verfügung.</w:t>
      </w:r>
    </w:p>
    <w:sectPr w:rsidR="00B66F25" w:rsidRPr="00B66F2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D06" w:rsidRDefault="00994D06" w:rsidP="00994D06">
      <w:pPr>
        <w:spacing w:after="0" w:line="240" w:lineRule="auto"/>
      </w:pPr>
      <w:r>
        <w:separator/>
      </w:r>
    </w:p>
  </w:endnote>
  <w:endnote w:type="continuationSeparator" w:id="0">
    <w:p w:rsidR="00994D06" w:rsidRDefault="00994D06" w:rsidP="0099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D06" w:rsidRDefault="00994D06" w:rsidP="00994D06">
      <w:pPr>
        <w:spacing w:after="0" w:line="240" w:lineRule="auto"/>
      </w:pPr>
      <w:r>
        <w:separator/>
      </w:r>
    </w:p>
  </w:footnote>
  <w:footnote w:type="continuationSeparator" w:id="0">
    <w:p w:rsidR="00994D06" w:rsidRDefault="00994D06" w:rsidP="0099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06" w:rsidRPr="00994D06" w:rsidRDefault="00994D06">
    <w:pPr>
      <w:pStyle w:val="Kopfzeile"/>
      <w:rPr>
        <w:sz w:val="16"/>
        <w:szCs w:val="16"/>
      </w:rPr>
    </w:pPr>
    <w:r w:rsidRPr="00994D06">
      <w:rPr>
        <w:sz w:val="16"/>
        <w:szCs w:val="16"/>
      </w:rPr>
      <w:t>Stand April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514E"/>
    <w:multiLevelType w:val="hybridMultilevel"/>
    <w:tmpl w:val="43AEF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7197A"/>
    <w:multiLevelType w:val="hybridMultilevel"/>
    <w:tmpl w:val="27D8D7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59"/>
    <w:rsid w:val="000A1A04"/>
    <w:rsid w:val="001605FF"/>
    <w:rsid w:val="001F480B"/>
    <w:rsid w:val="003A75B8"/>
    <w:rsid w:val="006F3BFA"/>
    <w:rsid w:val="00795615"/>
    <w:rsid w:val="00853744"/>
    <w:rsid w:val="00911B02"/>
    <w:rsid w:val="00994D06"/>
    <w:rsid w:val="00B301B4"/>
    <w:rsid w:val="00B66F25"/>
    <w:rsid w:val="00BA7F59"/>
    <w:rsid w:val="00D42EF4"/>
    <w:rsid w:val="00E67E37"/>
    <w:rsid w:val="00EF2EE3"/>
    <w:rsid w:val="00F4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531D"/>
  <w15:chartTrackingRefBased/>
  <w15:docId w15:val="{018842F7-D22B-4CCD-A8F3-9FBA4CDD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7F59"/>
    <w:pPr>
      <w:ind w:left="720"/>
      <w:contextualSpacing/>
    </w:pPr>
  </w:style>
  <w:style w:type="paragraph" w:customStyle="1" w:styleId="bodytext">
    <w:name w:val="bodytext"/>
    <w:basedOn w:val="Standard"/>
    <w:rsid w:val="00BA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A7F59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BA7F5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3BF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EF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9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D06"/>
  </w:style>
  <w:style w:type="paragraph" w:styleId="Fuzeile">
    <w:name w:val="footer"/>
    <w:basedOn w:val="Standard"/>
    <w:link w:val="FuzeileZchn"/>
    <w:uiPriority w:val="99"/>
    <w:unhideWhenUsed/>
    <w:rsid w:val="0099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TiHo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Noffz, Iris</dc:creator>
  <cp:keywords/>
  <dc:description/>
  <cp:lastModifiedBy>Dortmund da Silva, Julia</cp:lastModifiedBy>
  <cp:revision>3</cp:revision>
  <cp:lastPrinted>2019-01-24T07:41:00Z</cp:lastPrinted>
  <dcterms:created xsi:type="dcterms:W3CDTF">2023-12-19T08:42:00Z</dcterms:created>
  <dcterms:modified xsi:type="dcterms:W3CDTF">2024-04-23T11:33:00Z</dcterms:modified>
</cp:coreProperties>
</file>